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B3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9B3432">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F7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November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BF7BC0" w:rsidP="009D02C0">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Weinig</w:t>
      </w:r>
      <w:r>
        <w:rPr>
          <w:rFonts w:ascii="Arial" w:eastAsia="SimSun" w:hAnsi="Arial" w:cs="Arial"/>
          <w:b/>
          <w:bCs/>
          <w:color w:val="FF0000"/>
          <w:sz w:val="32"/>
          <w:szCs w:val="32"/>
          <w:lang w:val="en-US"/>
        </w:rPr>
        <w:t xml:space="preserve"> </w:t>
      </w:r>
      <w:r>
        <w:rPr>
          <w:rFonts w:ascii="Arial" w:eastAsia="SimSun" w:hAnsi="Arial" w:cs="Arial"/>
          <w:b/>
          <w:bCs/>
          <w:sz w:val="32"/>
          <w:szCs w:val="32"/>
          <w:lang w:val="en-US"/>
        </w:rPr>
        <w:t>Dimter</w:t>
      </w:r>
      <w:r>
        <w:rPr>
          <w:rFonts w:ascii="Arial" w:eastAsia="SimSun" w:hAnsi="Arial" w:cs="Arial"/>
          <w:b/>
          <w:bCs/>
          <w:color w:val="000000"/>
          <w:sz w:val="32"/>
          <w:szCs w:val="32"/>
          <w:lang w:val="en-US"/>
        </w:rPr>
        <w:t xml:space="preserve"> Packaging Days mobilize the specialist international community </w:t>
      </w:r>
    </w:p>
    <w:p w:rsidR="00A67436" w:rsidRDefault="00A67436" w:rsidP="00A67436">
      <w:pPr>
        <w:spacing w:line="360" w:lineRule="auto"/>
        <w:jc w:val="both"/>
        <w:rPr>
          <w:rFonts w:ascii="Arial" w:eastAsia="SimSun" w:hAnsi="Arial" w:cs="Arial"/>
          <w:color w:val="000000"/>
          <w:sz w:val="22"/>
          <w:szCs w:val="22"/>
        </w:rPr>
      </w:pPr>
    </w:p>
    <w:p w:rsidR="00BF7BC0" w:rsidRDefault="00D35F0F" w:rsidP="006B351B">
      <w:pPr>
        <w:spacing w:line="360" w:lineRule="auto"/>
        <w:rPr>
          <w:rFonts w:ascii="Arial" w:hAnsi="Arial" w:cs="Arial"/>
          <w:sz w:val="22"/>
          <w:szCs w:val="22"/>
        </w:rPr>
      </w:pPr>
      <w:r>
        <w:rPr>
          <w:rFonts w:ascii="Arial" w:hAnsi="Arial" w:cs="Arial"/>
          <w:sz w:val="22"/>
          <w:szCs w:val="22"/>
          <w:lang w:val="en-US"/>
        </w:rPr>
        <w:t>Freight transport is one of the world's major growth markets. The suppliers of wooden packaging also benefit from this. In Germany alone, the industry now generates annual sales of 2.5 billion euros. The Weinig</w:t>
      </w:r>
      <w:r>
        <w:rPr>
          <w:rFonts w:ascii="Arial" w:hAnsi="Arial" w:cs="Arial"/>
          <w:color w:val="FF0000"/>
          <w:sz w:val="22"/>
          <w:szCs w:val="22"/>
          <w:lang w:val="en-US"/>
        </w:rPr>
        <w:t xml:space="preserve"> </w:t>
      </w:r>
      <w:r>
        <w:rPr>
          <w:rFonts w:ascii="Arial" w:hAnsi="Arial" w:cs="Arial"/>
          <w:sz w:val="22"/>
          <w:szCs w:val="22"/>
          <w:lang w:val="en-US"/>
        </w:rPr>
        <w:t>Dimter Packaging Days in Illertissen made this development impressively clear. More than 400 packagers from all over the world came to find out about the latest technologies from Weinig Dimter, the cutting specialist within the Weinig Group. “</w:t>
      </w:r>
      <w:bookmarkStart w:id="0" w:name="_GoBack"/>
      <w:bookmarkEnd w:id="0"/>
      <w:r>
        <w:rPr>
          <w:rFonts w:ascii="Arial" w:hAnsi="Arial" w:cs="Arial"/>
          <w:sz w:val="22"/>
          <w:szCs w:val="22"/>
          <w:lang w:val="en-US"/>
        </w:rPr>
        <w:t xml:space="preserve">We hadn't expected so many registrations. In addition to the German-speaking countries, companies from Argentina, South Korea, Thailand, Poland, Spain, Romania as well as the entire Benelux and Scandinavia travelled to Illertissen for our event”, reported Dr. Mario Kordt, Managing Director of the host company Weinig Dimter GmbH. </w:t>
      </w:r>
    </w:p>
    <w:p w:rsidR="00B74C98" w:rsidRDefault="00B74C98" w:rsidP="006B351B">
      <w:pPr>
        <w:spacing w:line="360" w:lineRule="auto"/>
        <w:rPr>
          <w:rFonts w:ascii="Arial" w:hAnsi="Arial" w:cs="Arial"/>
          <w:sz w:val="22"/>
          <w:szCs w:val="22"/>
        </w:rPr>
      </w:pPr>
    </w:p>
    <w:p w:rsidR="00350BA8" w:rsidRDefault="00B74C98" w:rsidP="006B351B">
      <w:pPr>
        <w:spacing w:line="360" w:lineRule="auto"/>
        <w:rPr>
          <w:rFonts w:ascii="Arial" w:hAnsi="Arial" w:cs="Arial"/>
          <w:sz w:val="22"/>
          <w:szCs w:val="22"/>
        </w:rPr>
      </w:pPr>
      <w:r>
        <w:rPr>
          <w:rFonts w:ascii="Arial" w:hAnsi="Arial" w:cs="Arial"/>
          <w:sz w:val="22"/>
          <w:szCs w:val="22"/>
          <w:lang w:val="en-US"/>
        </w:rPr>
        <w:t xml:space="preserve">The third edition of the Weinig Packaging Days was not held directly in the production halls this time. The Dimter plant has become too small due to the high capacity utilization. Instead, the exhibitors presented themselves in a building complex rented mainly for assembly, which with its good infrastructure was ideally suited to cope with the rush of visitors. The entire portfolio of OptiCut cross-cut saws was seen live in action. The spectrum ranged from the positioning and stop guide system EasyStop with undertable cross-cut saw C 700 for the entry level to the </w:t>
      </w:r>
      <w:r>
        <w:rPr>
          <w:rFonts w:ascii="Arial" w:hAnsi="Arial" w:cs="Arial"/>
          <w:sz w:val="22"/>
          <w:szCs w:val="22"/>
          <w:lang w:val="en-US"/>
        </w:rPr>
        <w:lastRenderedPageBreak/>
        <w:t>push-feed saws and the particularly powerful through-feed saw OptiCut 260. Also on display were the top sellers in the packaging sector: the powerful OptiCut S 90 Speed as well as the length and width cutting unit S 60 wFlex</w:t>
      </w:r>
      <w:r>
        <w:rPr>
          <w:rFonts w:ascii="Arial" w:hAnsi="Arial" w:cs="Arial"/>
          <w:sz w:val="22"/>
          <w:szCs w:val="22"/>
          <w:vertAlign w:val="superscript"/>
          <w:lang w:val="en-US"/>
        </w:rPr>
        <w:t>+</w:t>
      </w:r>
      <w:r>
        <w:rPr>
          <w:rFonts w:ascii="Arial" w:hAnsi="Arial" w:cs="Arial"/>
          <w:sz w:val="22"/>
          <w:szCs w:val="22"/>
          <w:lang w:val="en-US"/>
        </w:rPr>
        <w:t xml:space="preserve">. The demonstration was completed by a variety of automation solutions. Digitization was a particular focus of attention. The cutting specialists from Illertissen presented the OptiPal production software and the OptiStat evaluation program. The event also focused on material tracking and part identification - topics for which Weinig offers a range of solutions.  </w:t>
      </w:r>
    </w:p>
    <w:p w:rsidR="00350BA8" w:rsidRDefault="00350BA8" w:rsidP="006B351B">
      <w:pPr>
        <w:spacing w:line="360" w:lineRule="auto"/>
        <w:rPr>
          <w:rFonts w:ascii="Arial" w:hAnsi="Arial" w:cs="Arial"/>
          <w:sz w:val="22"/>
          <w:szCs w:val="22"/>
        </w:rPr>
      </w:pPr>
    </w:p>
    <w:p w:rsidR="00E349BF" w:rsidRDefault="001E00C6" w:rsidP="006B351B">
      <w:pPr>
        <w:spacing w:line="360" w:lineRule="auto"/>
        <w:rPr>
          <w:rFonts w:ascii="Arial" w:hAnsi="Arial" w:cs="Arial"/>
          <w:sz w:val="22"/>
          <w:szCs w:val="22"/>
        </w:rPr>
      </w:pPr>
      <w:r>
        <w:rPr>
          <w:rFonts w:ascii="Arial" w:hAnsi="Arial" w:cs="Arial"/>
          <w:sz w:val="22"/>
          <w:szCs w:val="22"/>
          <w:lang w:val="en-US"/>
        </w:rPr>
        <w:t xml:space="preserve">The German professional association for wooden packaging (Bundesverband Holzpackmittel, HPE) was a top-class cooperation partner at the Packaging Days. Director Jan Kurth gave insights into the situation of the industry with his well-attended lecture. In another article, Dr. Volker Lang from the Fraunhofer Institute highlighted the logistics of the future with a focus on digitization. 20 guest exhibitors from the packaging sector rounded off the event.  </w:t>
      </w:r>
    </w:p>
    <w:p w:rsidR="00201377" w:rsidRDefault="00201377" w:rsidP="006B351B">
      <w:pPr>
        <w:spacing w:line="360" w:lineRule="auto"/>
        <w:rPr>
          <w:rFonts w:ascii="Arial" w:hAnsi="Arial" w:cs="Arial"/>
          <w:sz w:val="22"/>
          <w:szCs w:val="22"/>
        </w:rPr>
      </w:pPr>
    </w:p>
    <w:p w:rsidR="003F7090" w:rsidRDefault="003F7090" w:rsidP="006B351B">
      <w:pPr>
        <w:spacing w:line="360" w:lineRule="auto"/>
        <w:rPr>
          <w:rFonts w:ascii="Arial" w:hAnsi="Arial" w:cs="Arial"/>
          <w:sz w:val="22"/>
          <w:szCs w:val="22"/>
        </w:rPr>
      </w:pPr>
      <w:r>
        <w:rPr>
          <w:rFonts w:ascii="Arial" w:hAnsi="Arial" w:cs="Arial"/>
          <w:sz w:val="22"/>
          <w:szCs w:val="22"/>
          <w:lang w:val="en-US"/>
        </w:rPr>
        <w:t>A highlight of the Packaging Days was a tour of the TriCor Packaging &amp; Logistics AG site. At its Eppishausen site, the</w:t>
      </w:r>
      <w:r>
        <w:rPr>
          <w:rFonts w:ascii="Arial" w:hAnsi="Arial" w:cs="Arial"/>
          <w:color w:val="FF0000"/>
          <w:sz w:val="22"/>
          <w:szCs w:val="22"/>
          <w:lang w:val="en-US"/>
        </w:rPr>
        <w:t xml:space="preserve"> </w:t>
      </w:r>
      <w:r>
        <w:rPr>
          <w:rFonts w:ascii="Arial" w:hAnsi="Arial" w:cs="Arial"/>
          <w:sz w:val="22"/>
          <w:szCs w:val="22"/>
          <w:lang w:val="en-US"/>
        </w:rPr>
        <w:t>Weinig customer produces special pallets for its packagings made of corrugated cardboard and other materials. Weinig Dimter</w:t>
      </w:r>
      <w:r>
        <w:rPr>
          <w:rFonts w:ascii="Arial" w:hAnsi="Arial" w:cs="Arial"/>
          <w:color w:val="FF0000"/>
          <w:sz w:val="22"/>
          <w:szCs w:val="22"/>
          <w:lang w:val="en-US"/>
        </w:rPr>
        <w:t xml:space="preserve"> </w:t>
      </w:r>
      <w:r>
        <w:rPr>
          <w:rFonts w:ascii="Arial" w:hAnsi="Arial" w:cs="Arial"/>
          <w:sz w:val="22"/>
          <w:szCs w:val="22"/>
          <w:lang w:val="en-US"/>
        </w:rPr>
        <w:t xml:space="preserve">had handed over a highly automated cutting system in June 2017. Its central components are three Opticut 260 optimizing cross-cut saws working in parallel and a Weinig Ultra TT finger jointing line. Only three employees produce up to 360 pallets per hour on the high-performance production line which is linked to a Corali pallet system. The excursion was very well received by the visitors of the Packaging Days. </w:t>
      </w:r>
    </w:p>
    <w:p w:rsidR="001254C3" w:rsidRDefault="001254C3" w:rsidP="006B351B">
      <w:pPr>
        <w:spacing w:line="360" w:lineRule="auto"/>
        <w:rPr>
          <w:rFonts w:ascii="Arial" w:hAnsi="Arial" w:cs="Arial"/>
          <w:sz w:val="22"/>
          <w:szCs w:val="22"/>
        </w:rPr>
      </w:pPr>
    </w:p>
    <w:p w:rsidR="00F26E2C" w:rsidRDefault="005F2530" w:rsidP="006B351B">
      <w:pPr>
        <w:spacing w:line="360" w:lineRule="auto"/>
        <w:rPr>
          <w:rFonts w:ascii="Arial" w:hAnsi="Arial" w:cs="Arial"/>
          <w:sz w:val="22"/>
          <w:szCs w:val="22"/>
        </w:rPr>
      </w:pPr>
      <w:r>
        <w:rPr>
          <w:rFonts w:ascii="Arial" w:hAnsi="Arial" w:cs="Arial"/>
          <w:sz w:val="22"/>
          <w:szCs w:val="22"/>
          <w:lang w:val="en-US"/>
        </w:rPr>
        <w:t xml:space="preserve">After the two days in Illertissen, Dr. Mario Kordt was happy to have seen an extremely successful event. He attributes the great success above all to Weinig’s special position in the packaging segment: “With our cutting technology, we provide a unique service to an area that ranges from 2-man operations to the industrial sector with demanding customers like TriCor”, said the Managing Director. The steady upward trend of the </w:t>
      </w:r>
      <w:r>
        <w:rPr>
          <w:rFonts w:ascii="Arial" w:hAnsi="Arial" w:cs="Arial"/>
          <w:sz w:val="22"/>
          <w:szCs w:val="22"/>
          <w:lang w:val="en-US"/>
        </w:rPr>
        <w:lastRenderedPageBreak/>
        <w:t>“often underestimated” packaging segment is particularly positive, according to Dr. Kordt. He attributes much of this to the excellent work of the German professional association HPE. Weinig Dimter’s packaging business already has a 30-40% share in the sale of push-feed saws.  Dr. Kordt was very optimistic about the future: “The pallet is the central link in every logistics system”, said the Weinig Dimter leader. “And with growing demands on quality, Weinig is the first port of call for machine manufacturers.” With Weinig’s product portfolio in the cutting segment, the customer receives from a single source everything that is needed to ensure the efficient and economical production of wooden packagings.</w:t>
      </w:r>
    </w:p>
    <w:p w:rsidR="00721545" w:rsidRDefault="00721545" w:rsidP="006B351B">
      <w:pPr>
        <w:spacing w:line="360" w:lineRule="auto"/>
        <w:rPr>
          <w:rFonts w:ascii="Arial" w:hAnsi="Arial" w:cs="Arial"/>
          <w:sz w:val="22"/>
          <w:szCs w:val="22"/>
        </w:rPr>
      </w:pPr>
    </w:p>
    <w:p w:rsidR="008132D1" w:rsidRPr="009125CB" w:rsidRDefault="00BE375F" w:rsidP="006B351B">
      <w:pPr>
        <w:spacing w:line="360" w:lineRule="auto"/>
        <w:rPr>
          <w:rFonts w:ascii="Arial" w:hAnsi="Arial" w:cs="Arial"/>
          <w:sz w:val="18"/>
          <w:szCs w:val="18"/>
        </w:rPr>
      </w:pPr>
      <w:r>
        <w:rPr>
          <w:rFonts w:ascii="Arial" w:hAnsi="Arial" w:cs="Arial"/>
          <w:sz w:val="18"/>
          <w:szCs w:val="18"/>
          <w:lang w:val="en-US"/>
        </w:rPr>
        <w:t>Photos:</w:t>
      </w:r>
    </w:p>
    <w:p w:rsidR="002900E2" w:rsidRPr="00112B03" w:rsidRDefault="00112B03" w:rsidP="00112B03">
      <w:pPr>
        <w:spacing w:line="360" w:lineRule="auto"/>
        <w:rPr>
          <w:rFonts w:ascii="Arial" w:hAnsi="Arial" w:cs="Arial"/>
          <w:sz w:val="18"/>
          <w:szCs w:val="18"/>
        </w:rPr>
      </w:pPr>
      <w:r>
        <w:rPr>
          <w:rFonts w:ascii="Arial" w:hAnsi="Arial" w:cs="Arial"/>
          <w:sz w:val="18"/>
          <w:szCs w:val="18"/>
          <w:lang w:val="en-US"/>
        </w:rPr>
        <w:t>1+2) The broad program was tailored to the taste of the international audience.</w:t>
      </w:r>
    </w:p>
    <w:p w:rsidR="009125CB" w:rsidRPr="002900E2" w:rsidRDefault="009125CB" w:rsidP="002900E2">
      <w:pPr>
        <w:pStyle w:val="Listenabsatz"/>
        <w:numPr>
          <w:ilvl w:val="0"/>
          <w:numId w:val="25"/>
        </w:numPr>
        <w:spacing w:line="360" w:lineRule="auto"/>
        <w:rPr>
          <w:rFonts w:ascii="Arial" w:hAnsi="Arial" w:cs="Arial"/>
          <w:sz w:val="18"/>
          <w:szCs w:val="18"/>
        </w:rPr>
      </w:pPr>
      <w:r>
        <w:rPr>
          <w:rFonts w:ascii="Arial" w:hAnsi="Arial" w:cs="Arial"/>
          <w:sz w:val="18"/>
          <w:szCs w:val="18"/>
          <w:lang w:val="en-US"/>
        </w:rPr>
        <w:t xml:space="preserve">About 300 visitors of the Packaging Days joined the bus tour to the TriCor company. </w:t>
      </w: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FB" w:rsidRDefault="00BF5CFB">
      <w:r>
        <w:separator/>
      </w:r>
    </w:p>
  </w:endnote>
  <w:endnote w:type="continuationSeparator" w:id="0">
    <w:p w:rsidR="00BF5CFB" w:rsidRDefault="00BF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B3432">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7D5FEA">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FB" w:rsidRDefault="00BF5CFB">
      <w:r>
        <w:separator/>
      </w:r>
    </w:p>
  </w:footnote>
  <w:footnote w:type="continuationSeparator" w:id="0">
    <w:p w:rsidR="00BF5CFB" w:rsidRDefault="00BF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B3432"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D0523">
      <w:rPr>
        <w:noProof/>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5pt;height:2.75pt" o:bullet="t">
        <v:imagedata r:id="rId1" o:title=""/>
      </v:shape>
    </w:pict>
  </w:numPicBullet>
  <w:numPicBullet w:numPicBulletId="1">
    <w:pict>
      <v:shape id="_x0000_i1033" type="#_x0000_t75" style="width:2.75pt;height:2.75pt" o:bullet="t">
        <v:imagedata r:id="rId2" o:title=""/>
      </v:shape>
    </w:pict>
  </w:numPicBullet>
  <w:numPicBullet w:numPicBulletId="2">
    <w:pict>
      <v:shape id="_x0000_i1034" type="#_x0000_t75" style="width:12.1pt;height:12.1pt" o:bullet="t">
        <v:imagedata r:id="rId3" o:title=""/>
      </v:shape>
    </w:pict>
  </w:numPicBullet>
  <w:abstractNum w:abstractNumId="0" w15:restartNumberingAfterBreak="0">
    <w:nsid w:val="08067BD7"/>
    <w:multiLevelType w:val="hybridMultilevel"/>
    <w:tmpl w:val="C44047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49D4DF7"/>
    <w:multiLevelType w:val="hybridMultilevel"/>
    <w:tmpl w:val="94586602"/>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4"/>
  </w:num>
  <w:num w:numId="4">
    <w:abstractNumId w:val="6"/>
  </w:num>
  <w:num w:numId="5">
    <w:abstractNumId w:val="17"/>
  </w:num>
  <w:num w:numId="6">
    <w:abstractNumId w:val="3"/>
  </w:num>
  <w:num w:numId="7">
    <w:abstractNumId w:val="1"/>
  </w:num>
  <w:num w:numId="8">
    <w:abstractNumId w:val="21"/>
  </w:num>
  <w:num w:numId="9">
    <w:abstractNumId w:val="14"/>
  </w:num>
  <w:num w:numId="10">
    <w:abstractNumId w:val="9"/>
  </w:num>
  <w:num w:numId="11">
    <w:abstractNumId w:val="8"/>
  </w:num>
  <w:num w:numId="12">
    <w:abstractNumId w:val="24"/>
  </w:num>
  <w:num w:numId="13">
    <w:abstractNumId w:val="2"/>
  </w:num>
  <w:num w:numId="14">
    <w:abstractNumId w:val="16"/>
  </w:num>
  <w:num w:numId="15">
    <w:abstractNumId w:val="7"/>
  </w:num>
  <w:num w:numId="16">
    <w:abstractNumId w:val="22"/>
  </w:num>
  <w:num w:numId="17">
    <w:abstractNumId w:val="15"/>
  </w:num>
  <w:num w:numId="18">
    <w:abstractNumId w:val="13"/>
  </w:num>
  <w:num w:numId="19">
    <w:abstractNumId w:val="18"/>
  </w:num>
  <w:num w:numId="20">
    <w:abstractNumId w:val="19"/>
  </w:num>
  <w:num w:numId="21">
    <w:abstractNumId w:val="11"/>
  </w:num>
  <w:num w:numId="22">
    <w:abstractNumId w:val="12"/>
  </w:num>
  <w:num w:numId="23">
    <w:abstractNumId w:val="10"/>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6594"/>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C7771"/>
    <w:rsid w:val="000D3FD3"/>
    <w:rsid w:val="000D5FED"/>
    <w:rsid w:val="000E6BA8"/>
    <w:rsid w:val="00106D18"/>
    <w:rsid w:val="00110FB2"/>
    <w:rsid w:val="00112B03"/>
    <w:rsid w:val="00121B05"/>
    <w:rsid w:val="001246C5"/>
    <w:rsid w:val="001254C3"/>
    <w:rsid w:val="00134978"/>
    <w:rsid w:val="00143C49"/>
    <w:rsid w:val="0014402B"/>
    <w:rsid w:val="001440A6"/>
    <w:rsid w:val="00147885"/>
    <w:rsid w:val="001510C4"/>
    <w:rsid w:val="00170637"/>
    <w:rsid w:val="001936B6"/>
    <w:rsid w:val="00197869"/>
    <w:rsid w:val="001A5302"/>
    <w:rsid w:val="001C2C6F"/>
    <w:rsid w:val="001D2B20"/>
    <w:rsid w:val="001D598F"/>
    <w:rsid w:val="001D75BB"/>
    <w:rsid w:val="001E00C6"/>
    <w:rsid w:val="001E0499"/>
    <w:rsid w:val="001F2099"/>
    <w:rsid w:val="001F3B1E"/>
    <w:rsid w:val="001F75EC"/>
    <w:rsid w:val="00201377"/>
    <w:rsid w:val="0021110A"/>
    <w:rsid w:val="00215B09"/>
    <w:rsid w:val="0021789E"/>
    <w:rsid w:val="00223EE4"/>
    <w:rsid w:val="0025072C"/>
    <w:rsid w:val="00255D17"/>
    <w:rsid w:val="00264F2F"/>
    <w:rsid w:val="00273809"/>
    <w:rsid w:val="00275944"/>
    <w:rsid w:val="0028086B"/>
    <w:rsid w:val="00281AEE"/>
    <w:rsid w:val="002900E2"/>
    <w:rsid w:val="002932B1"/>
    <w:rsid w:val="00295091"/>
    <w:rsid w:val="002A28AD"/>
    <w:rsid w:val="002B1F9C"/>
    <w:rsid w:val="002B4D98"/>
    <w:rsid w:val="002C01C4"/>
    <w:rsid w:val="002C0E55"/>
    <w:rsid w:val="002D0523"/>
    <w:rsid w:val="002D2585"/>
    <w:rsid w:val="002E0E9E"/>
    <w:rsid w:val="002E1FC6"/>
    <w:rsid w:val="002F63B8"/>
    <w:rsid w:val="00301446"/>
    <w:rsid w:val="00303E2E"/>
    <w:rsid w:val="00306012"/>
    <w:rsid w:val="003143C0"/>
    <w:rsid w:val="00333416"/>
    <w:rsid w:val="00350BA8"/>
    <w:rsid w:val="00355890"/>
    <w:rsid w:val="003605C8"/>
    <w:rsid w:val="00363997"/>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A46F6"/>
    <w:rsid w:val="003B27D4"/>
    <w:rsid w:val="003C2A28"/>
    <w:rsid w:val="003C3A08"/>
    <w:rsid w:val="003C4162"/>
    <w:rsid w:val="003C72F6"/>
    <w:rsid w:val="003D207A"/>
    <w:rsid w:val="003D57BE"/>
    <w:rsid w:val="003D5961"/>
    <w:rsid w:val="003E2651"/>
    <w:rsid w:val="003F5331"/>
    <w:rsid w:val="003F7090"/>
    <w:rsid w:val="004112E7"/>
    <w:rsid w:val="00417C2A"/>
    <w:rsid w:val="00433EFE"/>
    <w:rsid w:val="004372A9"/>
    <w:rsid w:val="004406F2"/>
    <w:rsid w:val="004418EE"/>
    <w:rsid w:val="004428CB"/>
    <w:rsid w:val="00442DFE"/>
    <w:rsid w:val="00446CEF"/>
    <w:rsid w:val="00447191"/>
    <w:rsid w:val="0046217B"/>
    <w:rsid w:val="0047216D"/>
    <w:rsid w:val="00472F78"/>
    <w:rsid w:val="00473D54"/>
    <w:rsid w:val="004A36AD"/>
    <w:rsid w:val="004A3DEF"/>
    <w:rsid w:val="004A50DA"/>
    <w:rsid w:val="004B0DF4"/>
    <w:rsid w:val="004B2904"/>
    <w:rsid w:val="004C1D6C"/>
    <w:rsid w:val="004C4D8A"/>
    <w:rsid w:val="004C7810"/>
    <w:rsid w:val="004C7BC7"/>
    <w:rsid w:val="004D0764"/>
    <w:rsid w:val="004D2EC5"/>
    <w:rsid w:val="004D4DF0"/>
    <w:rsid w:val="004D581C"/>
    <w:rsid w:val="004E7828"/>
    <w:rsid w:val="0051022E"/>
    <w:rsid w:val="0051485D"/>
    <w:rsid w:val="00524558"/>
    <w:rsid w:val="005249DA"/>
    <w:rsid w:val="00524E17"/>
    <w:rsid w:val="00533228"/>
    <w:rsid w:val="00536AB4"/>
    <w:rsid w:val="00544243"/>
    <w:rsid w:val="00547849"/>
    <w:rsid w:val="005502A8"/>
    <w:rsid w:val="00562517"/>
    <w:rsid w:val="0057463A"/>
    <w:rsid w:val="00582964"/>
    <w:rsid w:val="0058779D"/>
    <w:rsid w:val="005A0C5E"/>
    <w:rsid w:val="005A33ED"/>
    <w:rsid w:val="005A50D3"/>
    <w:rsid w:val="005B00F0"/>
    <w:rsid w:val="005B5009"/>
    <w:rsid w:val="005B6AF4"/>
    <w:rsid w:val="005C0081"/>
    <w:rsid w:val="005C7B88"/>
    <w:rsid w:val="005D67F6"/>
    <w:rsid w:val="005F0FEF"/>
    <w:rsid w:val="005F2530"/>
    <w:rsid w:val="005F4A8B"/>
    <w:rsid w:val="0060193A"/>
    <w:rsid w:val="00602CF6"/>
    <w:rsid w:val="006031EE"/>
    <w:rsid w:val="00611581"/>
    <w:rsid w:val="00615053"/>
    <w:rsid w:val="00625EAB"/>
    <w:rsid w:val="00641148"/>
    <w:rsid w:val="00642205"/>
    <w:rsid w:val="00645F96"/>
    <w:rsid w:val="00652E7D"/>
    <w:rsid w:val="0065398D"/>
    <w:rsid w:val="00685088"/>
    <w:rsid w:val="00686F19"/>
    <w:rsid w:val="00691476"/>
    <w:rsid w:val="00694330"/>
    <w:rsid w:val="006A7B84"/>
    <w:rsid w:val="006B0241"/>
    <w:rsid w:val="006B2767"/>
    <w:rsid w:val="006B351B"/>
    <w:rsid w:val="006E378D"/>
    <w:rsid w:val="00700B29"/>
    <w:rsid w:val="00717D9B"/>
    <w:rsid w:val="00721545"/>
    <w:rsid w:val="00730250"/>
    <w:rsid w:val="00730618"/>
    <w:rsid w:val="0073490E"/>
    <w:rsid w:val="00737740"/>
    <w:rsid w:val="0074639A"/>
    <w:rsid w:val="00757271"/>
    <w:rsid w:val="00767915"/>
    <w:rsid w:val="007777BC"/>
    <w:rsid w:val="00780E24"/>
    <w:rsid w:val="00794C15"/>
    <w:rsid w:val="007954A4"/>
    <w:rsid w:val="007A3A65"/>
    <w:rsid w:val="007B113D"/>
    <w:rsid w:val="007B1B61"/>
    <w:rsid w:val="007B22DD"/>
    <w:rsid w:val="007C174B"/>
    <w:rsid w:val="007C457E"/>
    <w:rsid w:val="007D1565"/>
    <w:rsid w:val="007D5FEA"/>
    <w:rsid w:val="007E76F6"/>
    <w:rsid w:val="007F3747"/>
    <w:rsid w:val="00806C4C"/>
    <w:rsid w:val="00807530"/>
    <w:rsid w:val="008112D1"/>
    <w:rsid w:val="008132D1"/>
    <w:rsid w:val="00816B8B"/>
    <w:rsid w:val="008215CE"/>
    <w:rsid w:val="00825873"/>
    <w:rsid w:val="00827316"/>
    <w:rsid w:val="0083411D"/>
    <w:rsid w:val="00834CAA"/>
    <w:rsid w:val="00836E8F"/>
    <w:rsid w:val="008417F8"/>
    <w:rsid w:val="00843410"/>
    <w:rsid w:val="00863FB8"/>
    <w:rsid w:val="00866BD0"/>
    <w:rsid w:val="00867993"/>
    <w:rsid w:val="00871E96"/>
    <w:rsid w:val="00876032"/>
    <w:rsid w:val="00883890"/>
    <w:rsid w:val="00885C76"/>
    <w:rsid w:val="0088695E"/>
    <w:rsid w:val="00896407"/>
    <w:rsid w:val="008A2C85"/>
    <w:rsid w:val="008A3014"/>
    <w:rsid w:val="008A4FE4"/>
    <w:rsid w:val="008B1001"/>
    <w:rsid w:val="008B15D9"/>
    <w:rsid w:val="008B5B90"/>
    <w:rsid w:val="008B7235"/>
    <w:rsid w:val="008C78E0"/>
    <w:rsid w:val="008D14D5"/>
    <w:rsid w:val="008D6132"/>
    <w:rsid w:val="008E3614"/>
    <w:rsid w:val="008F27B8"/>
    <w:rsid w:val="008F46AD"/>
    <w:rsid w:val="00903644"/>
    <w:rsid w:val="009125CB"/>
    <w:rsid w:val="00914487"/>
    <w:rsid w:val="00920FF4"/>
    <w:rsid w:val="00926F6D"/>
    <w:rsid w:val="009352D6"/>
    <w:rsid w:val="0094006B"/>
    <w:rsid w:val="00944EFC"/>
    <w:rsid w:val="009764B0"/>
    <w:rsid w:val="00991DE7"/>
    <w:rsid w:val="0099294D"/>
    <w:rsid w:val="00993AEC"/>
    <w:rsid w:val="00996950"/>
    <w:rsid w:val="009A3440"/>
    <w:rsid w:val="009B08CB"/>
    <w:rsid w:val="009B3432"/>
    <w:rsid w:val="009B6082"/>
    <w:rsid w:val="009B6832"/>
    <w:rsid w:val="009C0E6B"/>
    <w:rsid w:val="009D01D3"/>
    <w:rsid w:val="009D02C0"/>
    <w:rsid w:val="009D4ABC"/>
    <w:rsid w:val="009D5AF8"/>
    <w:rsid w:val="009D668A"/>
    <w:rsid w:val="009D675B"/>
    <w:rsid w:val="009F02F3"/>
    <w:rsid w:val="009F2184"/>
    <w:rsid w:val="009F4873"/>
    <w:rsid w:val="009F4D3F"/>
    <w:rsid w:val="009F721A"/>
    <w:rsid w:val="00A2687F"/>
    <w:rsid w:val="00A34715"/>
    <w:rsid w:val="00A532A1"/>
    <w:rsid w:val="00A67436"/>
    <w:rsid w:val="00A675D0"/>
    <w:rsid w:val="00A84E34"/>
    <w:rsid w:val="00A90332"/>
    <w:rsid w:val="00AF0BC8"/>
    <w:rsid w:val="00B03934"/>
    <w:rsid w:val="00B10A73"/>
    <w:rsid w:val="00B32469"/>
    <w:rsid w:val="00B4552C"/>
    <w:rsid w:val="00B62627"/>
    <w:rsid w:val="00B66893"/>
    <w:rsid w:val="00B74C98"/>
    <w:rsid w:val="00B9213F"/>
    <w:rsid w:val="00B9326C"/>
    <w:rsid w:val="00BB3704"/>
    <w:rsid w:val="00BB6F08"/>
    <w:rsid w:val="00BC0AF8"/>
    <w:rsid w:val="00BD0BD8"/>
    <w:rsid w:val="00BD270B"/>
    <w:rsid w:val="00BD373A"/>
    <w:rsid w:val="00BE375F"/>
    <w:rsid w:val="00BF2706"/>
    <w:rsid w:val="00BF3117"/>
    <w:rsid w:val="00BF467A"/>
    <w:rsid w:val="00BF5CFB"/>
    <w:rsid w:val="00BF7BC0"/>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B711D"/>
    <w:rsid w:val="00CD39E6"/>
    <w:rsid w:val="00CE62F2"/>
    <w:rsid w:val="00CF6B95"/>
    <w:rsid w:val="00D0730F"/>
    <w:rsid w:val="00D1526F"/>
    <w:rsid w:val="00D20183"/>
    <w:rsid w:val="00D2126D"/>
    <w:rsid w:val="00D264D6"/>
    <w:rsid w:val="00D273FB"/>
    <w:rsid w:val="00D35F0F"/>
    <w:rsid w:val="00D37824"/>
    <w:rsid w:val="00D4132E"/>
    <w:rsid w:val="00D444F3"/>
    <w:rsid w:val="00D50F61"/>
    <w:rsid w:val="00D55BED"/>
    <w:rsid w:val="00D63163"/>
    <w:rsid w:val="00D661E1"/>
    <w:rsid w:val="00D66735"/>
    <w:rsid w:val="00D7091E"/>
    <w:rsid w:val="00D715B3"/>
    <w:rsid w:val="00D746BD"/>
    <w:rsid w:val="00D86D62"/>
    <w:rsid w:val="00DA1F38"/>
    <w:rsid w:val="00DA628F"/>
    <w:rsid w:val="00DA6E85"/>
    <w:rsid w:val="00DC4781"/>
    <w:rsid w:val="00DD023B"/>
    <w:rsid w:val="00DD5CC1"/>
    <w:rsid w:val="00DE0EE1"/>
    <w:rsid w:val="00DF737D"/>
    <w:rsid w:val="00E0050D"/>
    <w:rsid w:val="00E038F2"/>
    <w:rsid w:val="00E046AA"/>
    <w:rsid w:val="00E0784B"/>
    <w:rsid w:val="00E13E9E"/>
    <w:rsid w:val="00E20900"/>
    <w:rsid w:val="00E22FD0"/>
    <w:rsid w:val="00E342C0"/>
    <w:rsid w:val="00E349BF"/>
    <w:rsid w:val="00E40581"/>
    <w:rsid w:val="00E525CD"/>
    <w:rsid w:val="00E579A0"/>
    <w:rsid w:val="00E60FA9"/>
    <w:rsid w:val="00E70E72"/>
    <w:rsid w:val="00E75D07"/>
    <w:rsid w:val="00E84456"/>
    <w:rsid w:val="00E868D3"/>
    <w:rsid w:val="00E95574"/>
    <w:rsid w:val="00EB7779"/>
    <w:rsid w:val="00EC3215"/>
    <w:rsid w:val="00EC4FAF"/>
    <w:rsid w:val="00EC75EE"/>
    <w:rsid w:val="00EE6AD1"/>
    <w:rsid w:val="00EE74D6"/>
    <w:rsid w:val="00F02D5D"/>
    <w:rsid w:val="00F04129"/>
    <w:rsid w:val="00F041EB"/>
    <w:rsid w:val="00F14B6D"/>
    <w:rsid w:val="00F24C51"/>
    <w:rsid w:val="00F26E2C"/>
    <w:rsid w:val="00F35D9D"/>
    <w:rsid w:val="00F43036"/>
    <w:rsid w:val="00F50AD5"/>
    <w:rsid w:val="00F52C7B"/>
    <w:rsid w:val="00F755A1"/>
    <w:rsid w:val="00F86711"/>
    <w:rsid w:val="00F932C0"/>
    <w:rsid w:val="00F948DE"/>
    <w:rsid w:val="00F94ECE"/>
    <w:rsid w:val="00F95BEC"/>
    <w:rsid w:val="00FA3ABB"/>
    <w:rsid w:val="00FA765E"/>
    <w:rsid w:val="00FB3ED6"/>
    <w:rsid w:val="00FD6A46"/>
    <w:rsid w:val="00FE2662"/>
    <w:rsid w:val="00FE6E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C0D664B-C137-40B5-A521-72D94679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577475385">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58C15-5EB2-4833-83ED-AB439F84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593</Words>
  <Characters>3898</Characters>
  <Application>Microsoft Office Word</Application>
  <DocSecurity>0</DocSecurity>
  <Lines>90</Lines>
  <Paragraphs>11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5</cp:revision>
  <cp:lastPrinted>2009-03-27T09:16:00Z</cp:lastPrinted>
  <dcterms:created xsi:type="dcterms:W3CDTF">2017-11-17T15:42:00Z</dcterms:created>
  <dcterms:modified xsi:type="dcterms:W3CDTF">2017-11-21T11:24:00Z</dcterms:modified>
</cp:coreProperties>
</file>